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B9" w:rsidRPr="004254B9" w:rsidRDefault="004254B9" w:rsidP="004254B9">
      <w:pPr>
        <w:widowControl/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b/>
          <w:bCs/>
          <w:color w:val="000000"/>
          <w:kern w:val="0"/>
          <w:sz w:val="24"/>
        </w:rPr>
        <w:t>ZTE: sale a 108,82 miliardi di RMB il fatturato annuale 2017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b/>
          <w:bCs/>
          <w:color w:val="000000"/>
          <w:kern w:val="0"/>
          <w:sz w:val="24"/>
        </w:rPr>
        <w:t> 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Roma, 15 Marzo 2018 – </w:t>
      </w:r>
      <w:r w:rsidRPr="004254B9">
        <w:rPr>
          <w:rFonts w:ascii="Arial" w:eastAsia="Times New Roman" w:hAnsi="Arial" w:cs="Arial"/>
          <w:color w:val="000000"/>
          <w:kern w:val="0"/>
          <w:szCs w:val="21"/>
        </w:rPr>
        <w:t>ZTE Corporation ha pubblicato oggi il report annuale del 2017, rendendo noto un incremento del 7,5% del fatturato globale, ora pari a 108,82 miliardi di RMB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, grazie anche ai continui investimenti nelle reti di telecomunicazioni da parte di operatori globali e alla crescita della società nel mercato di consumo e nei mercati delle imprese pubbliche.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Ecco i numeri resi noti dal rendiconto finanziario pubblicato da ZTE: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l'utile netto attribuibile ai detentori di azioni ordinarie della società quotata nell'intero 2017 è stato di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4,57 miliardi di RMB, con un incremento del 293,8%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;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l'utile base per azione è stato di 1,09 RMB; il rendimento medio ponderato del capitale netto è stato del 15,7%, con una crescita su base annua di 24,1 punti percentuali.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La proposta di distribuzione degli utili del 2017 era pari a 3,3 RMB in contanti (al lordo delle imposte) ogni 10 azioni. L'ammontare totale del dividendo in contanti è stato di 1,384 miliardi di RMB (al lordo delle imposte), pari al 30,29% dell'utile netto attribuibile ai possessori di azioni ordinarie della società quotata nel 2017, il più alto nella storia della distribuzione degli utili della società.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Nel 2017, la società ha rafforzato la gestione dei flussi di cassa e delle entrate delle vendite.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Il suo flusso di cassa netto da attività operative per il 2017 è di circa 7,22 miliardi di RMB, circa il 37,3% di crescita anno su anno. Le spese in ricerca e sviluppo di ZTE sono aumentate a 12,96 miliardi di RMB nel 2017, coprendo l'11,9% delle entrate. Inoltre, ZTE ha raggiunto una forte crescita in tutte le sue reti carrier, consumer business e government - enterprise, con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ricavi specifici pari a 63,78 miliardi di RMB, 35,21 miliardi di RMB e 9,83 miliardi di RMB rispettivamente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ZTE ha registrato entrate operative di 61,96 miliardi di RMB dal mercato nazionale. Dal mercato estero, ZTE ha registrato entrate operative per 46,86 miliardi di RMB nel periodo.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Sempre nel 2017, la società si è concentrata sulla soluzione 5G end-to-end e ha investito nella verifica della standardizzazione, dello sviluppo del prodotto e dell'uso commerciale. Ad oggi, ZTE ha formato un team R&amp;D 5G con oltre 4.500 professionisti, coprendo una gamma completa di connettività, carrier, servizi e dispositivi mobili per stabilire la triplice leadership di ZTE nella tecnologia 5G, nell'uso commerciale e nelle economie di scala.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Nelle operazioni interne di Enterprise Business, i prodotti core di ZTE del mercato finanziario hanno continuato a farsi strada nelle banche a capitale pubblico e i prodotti GSM-R sono entrati completamente nel mercato C3 ferroviario. Inoltre, i progetti industriali a banda larga di ZTE hanno compiuto progressi significativi nei mercati esteri di fascia alta. In generale, nel 2017 ZTE ha continuato a migliorare il proprio 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>sistema di controllo interno stabilendo e migliorando meccanismi e processi operativi e rafforzando la responsabilità, al fine di garantire il buon funzionamento dell'azienda. Andiamo più nel dettaglio.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ZTE ha ottenuto grandi innovazioni nelle tecnologie 5G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e ha stretto partnership strategiche con oltre 20 operatori in tutto il mondo per promuovere congiuntamente la verifica e il test delle tecnologie 5G, accelerando così le implementazioni commerciali 5G: ha battuto diversi record nella fase 1 e 2 dei test nazionali 5G in Cina, e ora si sta preparando per la fase 3;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in collaborazione con China Mobile e Qualcomm, ha completato il primo sistema di test di dati di interoperabilità (IoDT) New Radio (NR) 5G con una connessione dati basata su 3GPP 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ultima versione;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in collaborazione con Intel, ha lanciato la prima soluzione al mondo 5G RAN basata sulla virtualizzazione SDN/NFV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, facilitando in gran parte la commercializzazione 5G. Nel 2017, il colosso cinese ha implementato oltre 320 casi commerciali/di prova NFV a livello globale, gettando una solida base per l'uso commerciale e l'evoluzione della rete core 5G.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In termini di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carrier e comunicazioni ottiche che supportano le reti 5G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per uso commerciale, ZTE ha lanciato la soluzione 5G carrier 5G Flexhaul e l'attrezzatura sistematica 5G; ha condotto test di carrier 5G con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Telefonica, China Mobile e altri partner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evidenziando che tutti i risultati dei test soddisfano le aspettative dei partner; ha rilasciato per prima la piattaforma cross-connect 256T di nuova generazione ad altissima capacità basata sulla tecnologia a guida d'onda ottica, che soddisfa pienamente i requisiti di carico ultra-elevato della comunicazione ottica 5G su apparecchiature carrier; insieme a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Velcom, 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ha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 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completato la prima rete elastica ottica + IP + end-to-end al mondo completamente SDN; ha supportato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Telefonica Mexico Movistar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nel completamento della rete di trasporto ottico oltre 100G. ZTE vanta anche un primato anche nei settori della comunicazione ottica e dell'accesso ottico: la piattaforma di accesso ottica di punta di ZTE,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TITAN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, ha una capacità di commutazione quattro volte superiore al livello esistente del settore e supporta i carrier 5G e l'integrazione fissa/mobile. ZTE è leader nella quota di mercato PON 10G e terza nella spedizione del set top box IPTV nel mondo e nei prodotti CDN integrati.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ZTE si sta dedicando a tecnologie emergenti come Internet of Things, chip, cloud computing e big data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Nella divisione Consumer, ZTE ha presentato il primo Gigabit Phone al mondo e due prodotti gateway di classe gigabit, che hanno consentito a ZTE di assumere un ruolo guida nel raggiungimento dell'utilizzo commerciale dei terminali gigabit. Inoltre, la società ha lanciato ZTE Axon M, uno smartphone pieghevole con doppio schermo, con l’operatore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AT&amp;T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 negli Stati Uniti e con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NTT DoCoMo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 in Giappone. In Cina, ZTE si è concentrata sui carrier e sul mercato industriale. Nel 2017, ZTE Mobile Devices si 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lastRenderedPageBreak/>
        <w:t>è classificato tra i primi 5 in sei mercati principali quali Stati Uniti, Canada, Messico, Spagna, Russia e Australia.</w:t>
      </w:r>
    </w:p>
    <w:p w:rsidR="004254B9" w:rsidRPr="004254B9" w:rsidRDefault="004254B9" w:rsidP="004254B9">
      <w:pPr>
        <w:widowControl/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kern w:val="0"/>
          <w:szCs w:val="21"/>
        </w:rPr>
      </w:pP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Per quanto riguarda gli obiettivi del 2018, la società continuerà la sua attività sui mercati chiave per aumentare le sue quote di mercato e si concentrerà ancora su clienti di alto valore e sulla loro soddisfazione, in conformità con la sua </w:t>
      </w:r>
      <w:r w:rsidRPr="004254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"Strategia 2020"</w:t>
      </w:r>
      <w:r w:rsidRPr="004254B9">
        <w:rPr>
          <w:rFonts w:ascii="Arial" w:eastAsia="Times New Roman" w:hAnsi="Arial" w:cs="Arial"/>
          <w:color w:val="000000"/>
          <w:kern w:val="0"/>
          <w:sz w:val="22"/>
          <w:szCs w:val="22"/>
        </w:rPr>
        <w:t>. La società continuerà a focalizzarsi nell'innovazione proprietaria delle tecnologie di base e ad aumentare gli investimenti nella R&amp;S in 5G e in altri prodotti core per rafforzare la competitività del prodotto.</w:t>
      </w:r>
    </w:p>
    <w:p w:rsidR="00FF0AAD" w:rsidRDefault="00FF0AAD">
      <w:bookmarkStart w:id="0" w:name="_GoBack"/>
      <w:bookmarkEnd w:id="0"/>
    </w:p>
    <w:sectPr w:rsidR="00FF0AAD" w:rsidSect="00FF0AA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68" w:rsidRDefault="00D96068" w:rsidP="00FF0AAD">
      <w:r>
        <w:separator/>
      </w:r>
    </w:p>
  </w:endnote>
  <w:endnote w:type="continuationSeparator" w:id="0">
    <w:p w:rsidR="00D96068" w:rsidRDefault="00D96068" w:rsidP="00FF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angSong_GB2312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STFa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AAD" w:rsidRDefault="005956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1D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AAD" w:rsidRDefault="00FF0A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AAD" w:rsidRDefault="00971DDC">
    <w:pPr>
      <w:pStyle w:val="Footer"/>
      <w:framePr w:wrap="around" w:vAnchor="text" w:hAnchor="page" w:x="9541" w:yAlign="top"/>
      <w:rPr>
        <w:rStyle w:val="PageNumber"/>
      </w:rPr>
    </w:pPr>
    <w:r>
      <w:rPr>
        <w:rStyle w:val="PageNumber"/>
        <w:rFonts w:hint="eastAsia"/>
      </w:rPr>
      <w:t>第</w:t>
    </w:r>
    <w:r w:rsidR="0059566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9566C">
      <w:rPr>
        <w:rStyle w:val="PageNumber"/>
      </w:rPr>
      <w:fldChar w:fldCharType="separate"/>
    </w:r>
    <w:r w:rsidR="004254B9">
      <w:rPr>
        <w:rStyle w:val="PageNumber"/>
        <w:noProof/>
      </w:rPr>
      <w:t>1</w:t>
    </w:r>
    <w:r w:rsidR="0059566C">
      <w:rPr>
        <w:rStyle w:val="PageNumber"/>
      </w:rPr>
      <w:fldChar w:fldCharType="end"/>
    </w:r>
    <w:r>
      <w:rPr>
        <w:rStyle w:val="PageNumber"/>
        <w:rFonts w:hint="eastAsia"/>
      </w:rPr>
      <w:t>页</w:t>
    </w:r>
  </w:p>
  <w:p w:rsidR="00FF0AAD" w:rsidRDefault="00971DDC" w:rsidP="00816F96">
    <w:pPr>
      <w:pStyle w:val="Footer"/>
      <w:ind w:right="360"/>
      <w:jc w:val="both"/>
      <w:rPr>
        <w:rFonts w:ascii="SimSun" w:hAnsi="SimSun"/>
      </w:rPr>
    </w:pPr>
    <w:r>
      <w:t>&lt;</w:t>
    </w:r>
    <w:r>
      <w:rPr>
        <w:rFonts w:hAnsi="SimSun" w:hint="eastAsia"/>
      </w:rPr>
      <w:t>以上</w:t>
    </w:r>
    <w:r>
      <w:rPr>
        <w:rFonts w:hAnsi="SimSun"/>
      </w:rPr>
      <w:t>所有信息均为中兴通讯股份有限公司</w:t>
    </w:r>
    <w:r>
      <w:rPr>
        <w:rFonts w:hAnsi="SimSun" w:hint="eastAsia"/>
      </w:rPr>
      <w:t>所有</w:t>
    </w:r>
    <w:r>
      <w:rPr>
        <w:rFonts w:hAnsi="SimSun"/>
      </w:rPr>
      <w:t>，不</w:t>
    </w:r>
    <w:r>
      <w:rPr>
        <w:rFonts w:hAnsi="SimSun" w:hint="eastAsia"/>
      </w:rPr>
      <w:t>得</w:t>
    </w:r>
    <w:r>
      <w:rPr>
        <w:rFonts w:hAnsi="SimSun"/>
      </w:rPr>
      <w:t>外传</w:t>
    </w:r>
    <w:r>
      <w:t>&gt;</w:t>
    </w:r>
    <w:r>
      <w:rPr>
        <w:rFonts w:ascii="SimSun" w:hAnsi="SimSun"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68" w:rsidRDefault="00D96068" w:rsidP="00FF0AAD">
      <w:r>
        <w:separator/>
      </w:r>
    </w:p>
  </w:footnote>
  <w:footnote w:type="continuationSeparator" w:id="0">
    <w:p w:rsidR="00D96068" w:rsidRDefault="00D96068" w:rsidP="00FF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45" w:rsidRPr="007143CB" w:rsidRDefault="00312C1A" w:rsidP="00196645">
    <w:pPr>
      <w:jc w:val="distribute"/>
    </w:pPr>
    <w:r>
      <w:rPr>
        <w:noProof/>
      </w:rP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</w:t>
    </w:r>
    <w:r w:rsidR="00196645">
      <w:rPr>
        <w:rFonts w:hint="eastAsia"/>
      </w:rPr>
      <w:t xml:space="preserve">                </w:t>
    </w:r>
    <w:r w:rsidR="00816F96">
      <w:rPr>
        <w:rFonts w:hint="eastAsia"/>
      </w:rPr>
      <w:t xml:space="preserve">                            </w:t>
    </w:r>
    <w:r w:rsidR="00196645">
      <w:rPr>
        <w:rFonts w:hint="eastAsia"/>
      </w:rPr>
      <w:t xml:space="preserve">    </w:t>
    </w:r>
    <w:r>
      <w:rPr>
        <w:rFonts w:hint="eastAsia"/>
      </w:rPr>
      <w:t xml:space="preserve"> </w:t>
    </w:r>
    <w:r w:rsidR="00196645">
      <w:rPr>
        <w:rFonts w:ascii="SimSun" w:hAnsi="SimSun" w:cs="FangSong_GB2312" w:hint="eastAsia"/>
        <w:color w:val="000000"/>
        <w:kern w:val="0"/>
        <w:szCs w:val="21"/>
      </w:rPr>
      <w:t>内部公开</w:t>
    </w:r>
    <w:r w:rsidR="00196645">
      <w:rPr>
        <w:rFonts w:hint="eastAsia"/>
        <w:color w:val="000000"/>
        <w:kern w:val="0"/>
        <w:szCs w:val="21"/>
      </w:rPr>
      <w:t>▲</w:t>
    </w:r>
  </w:p>
  <w:p w:rsidR="00FF0AAD" w:rsidRDefault="00CF356A">
    <w:pPr>
      <w:jc w:val="distribute"/>
      <w:rPr>
        <w:rFonts w:eastAsia="STFangsong"/>
        <w:szCs w:val="21"/>
      </w:rPr>
    </w:pPr>
    <w:r>
      <w:rPr>
        <w:rFonts w:eastAsia="STFangsong"/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B9"/>
    <w:rsid w:val="00092939"/>
    <w:rsid w:val="00126145"/>
    <w:rsid w:val="001767E6"/>
    <w:rsid w:val="00190A8D"/>
    <w:rsid w:val="00196645"/>
    <w:rsid w:val="001B21A1"/>
    <w:rsid w:val="002333B7"/>
    <w:rsid w:val="00244D42"/>
    <w:rsid w:val="002D35FA"/>
    <w:rsid w:val="002F5517"/>
    <w:rsid w:val="00312C1A"/>
    <w:rsid w:val="00312DD1"/>
    <w:rsid w:val="0033176D"/>
    <w:rsid w:val="003504B5"/>
    <w:rsid w:val="003A2A06"/>
    <w:rsid w:val="003F448B"/>
    <w:rsid w:val="003F58F6"/>
    <w:rsid w:val="00413229"/>
    <w:rsid w:val="004254B9"/>
    <w:rsid w:val="00427917"/>
    <w:rsid w:val="0046088D"/>
    <w:rsid w:val="0048006F"/>
    <w:rsid w:val="004C63EE"/>
    <w:rsid w:val="004D1EE6"/>
    <w:rsid w:val="0051029C"/>
    <w:rsid w:val="0059566C"/>
    <w:rsid w:val="005D680C"/>
    <w:rsid w:val="005F56A6"/>
    <w:rsid w:val="006012C6"/>
    <w:rsid w:val="00617630"/>
    <w:rsid w:val="00620346"/>
    <w:rsid w:val="00690BB8"/>
    <w:rsid w:val="006B48F1"/>
    <w:rsid w:val="006C60A2"/>
    <w:rsid w:val="006D7CA8"/>
    <w:rsid w:val="00771468"/>
    <w:rsid w:val="00793203"/>
    <w:rsid w:val="00796A2A"/>
    <w:rsid w:val="007A2A69"/>
    <w:rsid w:val="007C33E4"/>
    <w:rsid w:val="007E771D"/>
    <w:rsid w:val="00816F96"/>
    <w:rsid w:val="00872250"/>
    <w:rsid w:val="0096003B"/>
    <w:rsid w:val="00971DDC"/>
    <w:rsid w:val="00991070"/>
    <w:rsid w:val="00992DCD"/>
    <w:rsid w:val="009E748B"/>
    <w:rsid w:val="00A22250"/>
    <w:rsid w:val="00A95088"/>
    <w:rsid w:val="00AC4276"/>
    <w:rsid w:val="00B12666"/>
    <w:rsid w:val="00C50168"/>
    <w:rsid w:val="00C53622"/>
    <w:rsid w:val="00C54982"/>
    <w:rsid w:val="00C93EDD"/>
    <w:rsid w:val="00C953EF"/>
    <w:rsid w:val="00CF356A"/>
    <w:rsid w:val="00D25CA2"/>
    <w:rsid w:val="00D85273"/>
    <w:rsid w:val="00D96068"/>
    <w:rsid w:val="00DA12AB"/>
    <w:rsid w:val="00E153F6"/>
    <w:rsid w:val="00E43842"/>
    <w:rsid w:val="00E943EE"/>
    <w:rsid w:val="00EE5769"/>
    <w:rsid w:val="00F01A21"/>
    <w:rsid w:val="00FF0AAD"/>
    <w:rsid w:val="44C70D28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chartTrackingRefBased/>
  <w15:docId w15:val="{C2C47B49-1D46-4B00-A034-E7BD01B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A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F0AAD"/>
    <w:rPr>
      <w:sz w:val="18"/>
      <w:szCs w:val="18"/>
    </w:rPr>
  </w:style>
  <w:style w:type="paragraph" w:styleId="Footer">
    <w:name w:val="footer"/>
    <w:basedOn w:val="Normal"/>
    <w:semiHidden/>
    <w:rsid w:val="00FF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semiHidden/>
    <w:rsid w:val="00FF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FF0AA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D"/>
    <w:rPr>
      <w:kern w:val="2"/>
      <w:sz w:val="18"/>
      <w:szCs w:val="18"/>
    </w:rPr>
  </w:style>
  <w:style w:type="character" w:styleId="Strong">
    <w:name w:val="Strong"/>
    <w:basedOn w:val="DefaultParagraphFont"/>
    <w:uiPriority w:val="22"/>
    <w:qFormat/>
    <w:rsid w:val="004254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4B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apple-converted-space">
    <w:name w:val="apple-converted-space"/>
    <w:basedOn w:val="DefaultParagraphFont"/>
    <w:rsid w:val="0042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2113-01-01T00:00:00Z</cp:lastPrinted>
  <dcterms:created xsi:type="dcterms:W3CDTF">2018-03-16T09:46:00Z</dcterms:created>
  <dcterms:modified xsi:type="dcterms:W3CDTF">2018-03-16T09:48:00Z</dcterms:modified>
</cp:coreProperties>
</file>